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39" w:rsidRDefault="00486739" w:rsidP="0022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86739" w:rsidRPr="00486739" w:rsidRDefault="00486739" w:rsidP="00486739">
      <w:pPr>
        <w:spacing w:before="300" w:after="0" w:line="360" w:lineRule="atLeast"/>
        <w:jc w:val="center"/>
        <w:outlineLvl w:val="4"/>
        <w:rPr>
          <w:rFonts w:ascii="Yanone Kaffeesatz Regular" w:eastAsia="Times New Roman" w:hAnsi="Yanone Kaffeesatz Regular" w:cs="Times New Roman"/>
          <w:b/>
          <w:sz w:val="36"/>
          <w:szCs w:val="36"/>
        </w:rPr>
      </w:pPr>
      <w:r w:rsidRPr="00486739">
        <w:rPr>
          <w:rFonts w:ascii="Yanone Kaffeesatz Regular" w:eastAsia="Times New Roman" w:hAnsi="Yanone Kaffeesatz Regular" w:cs="Times New Roman"/>
          <w:b/>
          <w:sz w:val="36"/>
          <w:szCs w:val="36"/>
        </w:rPr>
        <w:t>American Literature Association</w:t>
      </w:r>
    </w:p>
    <w:p w:rsidR="00486739" w:rsidRPr="00486739" w:rsidRDefault="00486739" w:rsidP="00486739">
      <w:pPr>
        <w:spacing w:before="300" w:after="0" w:line="360" w:lineRule="atLeast"/>
        <w:jc w:val="center"/>
        <w:outlineLvl w:val="4"/>
        <w:rPr>
          <w:rFonts w:ascii="Yanone Kaffeesatz Regular" w:eastAsia="Times New Roman" w:hAnsi="Yanone Kaffeesatz Regular" w:cs="Times New Roman"/>
          <w:b/>
          <w:sz w:val="36"/>
          <w:szCs w:val="36"/>
        </w:rPr>
      </w:pPr>
      <w:r w:rsidRPr="00486739">
        <w:rPr>
          <w:rFonts w:ascii="Yanone Kaffeesatz Regular" w:eastAsia="Times New Roman" w:hAnsi="Yanone Kaffeesatz Regular" w:cs="Times New Roman"/>
          <w:b/>
          <w:sz w:val="36"/>
          <w:szCs w:val="36"/>
        </w:rPr>
        <w:t>26th Annual Conference</w:t>
      </w:r>
    </w:p>
    <w:p w:rsidR="00486739" w:rsidRPr="00486739" w:rsidRDefault="00486739" w:rsidP="00486739">
      <w:pPr>
        <w:spacing w:before="300" w:after="0" w:line="360" w:lineRule="atLeast"/>
        <w:jc w:val="center"/>
        <w:outlineLvl w:val="4"/>
        <w:rPr>
          <w:rFonts w:ascii="Yanone Kaffeesatz Regular" w:eastAsia="Times New Roman" w:hAnsi="Yanone Kaffeesatz Regular" w:cs="Times New Roman"/>
          <w:b/>
          <w:sz w:val="36"/>
          <w:szCs w:val="36"/>
        </w:rPr>
      </w:pPr>
      <w:r w:rsidRPr="00486739">
        <w:rPr>
          <w:rFonts w:ascii="Yanone Kaffeesatz Regular" w:eastAsia="Times New Roman" w:hAnsi="Yanone Kaffeesatz Regular" w:cs="Times New Roman"/>
          <w:b/>
          <w:sz w:val="36"/>
          <w:szCs w:val="36"/>
        </w:rPr>
        <w:t>May 21-24, 2015</w:t>
      </w:r>
    </w:p>
    <w:p w:rsidR="00486739" w:rsidRPr="00486739" w:rsidRDefault="00486739" w:rsidP="00486739">
      <w:pPr>
        <w:spacing w:before="300" w:after="0" w:line="360" w:lineRule="atLeast"/>
        <w:jc w:val="center"/>
        <w:outlineLvl w:val="4"/>
        <w:rPr>
          <w:rFonts w:ascii="Yanone Kaffeesatz Regular" w:eastAsia="Times New Roman" w:hAnsi="Yanone Kaffeesatz Regular" w:cs="Times New Roman"/>
          <w:b/>
          <w:sz w:val="36"/>
          <w:szCs w:val="36"/>
        </w:rPr>
      </w:pPr>
      <w:r w:rsidRPr="00486739">
        <w:rPr>
          <w:rFonts w:ascii="Yanone Kaffeesatz Regular" w:eastAsia="Times New Roman" w:hAnsi="Yanone Kaffeesatz Regular" w:cs="Times New Roman"/>
          <w:b/>
          <w:sz w:val="36"/>
          <w:szCs w:val="36"/>
        </w:rPr>
        <w:t>Boston, MA</w:t>
      </w:r>
    </w:p>
    <w:p w:rsidR="00486739" w:rsidRDefault="00486739" w:rsidP="0022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11088" w:rsidRPr="00B11088" w:rsidRDefault="00B11088" w:rsidP="0022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1108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Toni Morrison Society Sessions at the American Literature Association Conference, May 21-24, 2015, Boston, MA</w:t>
      </w:r>
    </w:p>
    <w:p w:rsidR="0022029C" w:rsidRPr="0022029C" w:rsidRDefault="0022029C" w:rsidP="0022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29C">
        <w:rPr>
          <w:rFonts w:ascii="Times New Roman" w:eastAsia="Times New Roman" w:hAnsi="Times New Roman" w:cs="Times New Roman"/>
          <w:color w:val="000000"/>
          <w:sz w:val="24"/>
          <w:szCs w:val="24"/>
        </w:rPr>
        <w:t>The Toni Morrison Society</w:t>
      </w:r>
      <w:bookmarkStart w:id="0" w:name="_GoBack"/>
      <w:bookmarkEnd w:id="0"/>
      <w:r w:rsidRPr="0022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invites proposals for papers to be presented at the 2015 American Literature Association </w:t>
      </w:r>
      <w:r w:rsidR="00387BBB"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</w:t>
      </w:r>
      <w:r w:rsidR="00426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Boston, MA</w:t>
      </w:r>
      <w:r w:rsidR="00387BBB">
        <w:rPr>
          <w:rFonts w:ascii="Times New Roman" w:eastAsia="Times New Roman" w:hAnsi="Times New Roman" w:cs="Times New Roman"/>
          <w:color w:val="000000"/>
          <w:sz w:val="24"/>
          <w:szCs w:val="24"/>
        </w:rPr>
        <w:t>. Send proposals (250-</w:t>
      </w:r>
      <w:r w:rsidRPr="0022029C">
        <w:rPr>
          <w:rFonts w:ascii="Times New Roman" w:eastAsia="Times New Roman" w:hAnsi="Times New Roman" w:cs="Times New Roman"/>
          <w:color w:val="000000"/>
          <w:sz w:val="24"/>
          <w:szCs w:val="24"/>
        </w:rPr>
        <w:t>500 words</w:t>
      </w:r>
      <w:r w:rsidR="00FE0D1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2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0D1B">
        <w:rPr>
          <w:rFonts w:ascii="Times New Roman" w:eastAsia="Times New Roman" w:hAnsi="Times New Roman" w:cs="Times New Roman"/>
          <w:color w:val="000000"/>
          <w:sz w:val="24"/>
          <w:szCs w:val="24"/>
        </w:rPr>
        <w:t>as well as academic affiliation</w:t>
      </w:r>
      <w:r w:rsidRPr="0022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Evelyn Schreiber at schreiber.evelyn@gmail.com. Deadline for proposals: </w:t>
      </w:r>
      <w:r w:rsidR="00B11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January 1, 2015</w:t>
      </w:r>
      <w:r w:rsidRPr="00220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2029C" w:rsidRPr="0022029C" w:rsidRDefault="0022029C" w:rsidP="00220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2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Panel: Toni Morrison’s </w:t>
      </w:r>
      <w:r w:rsidRPr="002202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Desdemona</w:t>
      </w:r>
      <w:r w:rsidRPr="002202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This panel invites papers that examine Toni Morrison’s play/musical performance, </w:t>
      </w:r>
      <w:r w:rsidRPr="002202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Desdemona</w:t>
      </w:r>
      <w:r w:rsidR="00FE0D1B">
        <w:rPr>
          <w:rFonts w:ascii="Times New Roman" w:eastAsia="Times New Roman" w:hAnsi="Times New Roman" w:cs="Times New Roman"/>
          <w:color w:val="000000"/>
          <w:sz w:val="24"/>
          <w:szCs w:val="24"/>
        </w:rPr>
        <w:t>.  First staged in Vienna in 2009 a</w:t>
      </w:r>
      <w:r w:rsidRPr="0022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performed around the world by a touring ensemble, </w:t>
      </w:r>
      <w:r w:rsidRPr="002202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Desdemona</w:t>
      </w:r>
      <w:r w:rsidR="0077150B" w:rsidRPr="0077150B">
        <w:rPr>
          <w:rFonts w:ascii="Times New Roman" w:eastAsia="Times New Roman" w:hAnsi="Times New Roman" w:cs="Times New Roman"/>
          <w:color w:val="000000"/>
          <w:sz w:val="24"/>
          <w:szCs w:val="24"/>
        </w:rPr>
        <w:t>—where Barbary and Desdemona articulate their thoughts</w:t>
      </w:r>
      <w:r w:rsidR="00771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</w:t>
      </w:r>
      <w:r w:rsidR="0077150B" w:rsidRPr="00771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77150B">
        <w:rPr>
          <w:rFonts w:ascii="Times New Roman" w:eastAsia="Times New Roman" w:hAnsi="Times New Roman" w:cs="Times New Roman"/>
          <w:color w:val="000000"/>
          <w:sz w:val="24"/>
          <w:szCs w:val="24"/>
        </w:rPr>
        <w:t>afterlif</w:t>
      </w:r>
      <w:r w:rsidR="0077150B" w:rsidRPr="0077150B">
        <w:rPr>
          <w:rFonts w:ascii="Times New Roman" w:eastAsia="Times New Roman" w:hAnsi="Times New Roman" w:cs="Times New Roman"/>
          <w:color w:val="000000"/>
          <w:sz w:val="24"/>
          <w:szCs w:val="24"/>
        </w:rPr>
        <w:t>e--deserves</w:t>
      </w:r>
      <w:r w:rsidRPr="0022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critical attention.   Papers might explore </w:t>
      </w:r>
      <w:r w:rsidR="00FE0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themes of </w:t>
      </w:r>
      <w:r w:rsidRPr="0022029C">
        <w:rPr>
          <w:rFonts w:ascii="Times New Roman" w:eastAsia="Times New Roman" w:hAnsi="Times New Roman" w:cs="Times New Roman"/>
          <w:color w:val="000000"/>
          <w:sz w:val="24"/>
          <w:szCs w:val="24"/>
        </w:rPr>
        <w:t>time, memory, narrative performance, absence, storytelling, women and agency, subject/object posi</w:t>
      </w:r>
      <w:r w:rsidR="00280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tions, the politics of race, </w:t>
      </w:r>
      <w:r w:rsidRPr="0022029C">
        <w:rPr>
          <w:rFonts w:ascii="Times New Roman" w:eastAsia="Times New Roman" w:hAnsi="Times New Roman" w:cs="Times New Roman"/>
          <w:color w:val="000000"/>
          <w:sz w:val="24"/>
          <w:szCs w:val="24"/>
        </w:rPr>
        <w:t>gender,</w:t>
      </w:r>
      <w:r w:rsidR="00280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class,</w:t>
      </w:r>
      <w:r w:rsidRPr="0022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multicultural Mediterranean,</w:t>
      </w:r>
      <w:r w:rsidR="00280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colonialism,</w:t>
      </w:r>
      <w:r w:rsidRPr="0022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any oth</w:t>
      </w:r>
      <w:r w:rsidR="00FE0D1B">
        <w:rPr>
          <w:rFonts w:ascii="Times New Roman" w:eastAsia="Times New Roman" w:hAnsi="Times New Roman" w:cs="Times New Roman"/>
          <w:color w:val="000000"/>
          <w:sz w:val="24"/>
          <w:szCs w:val="24"/>
        </w:rPr>
        <w:t>er intriguing avenues of scholarship</w:t>
      </w:r>
      <w:r w:rsidRPr="0022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771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Papers might also explore </w:t>
      </w:r>
      <w:r w:rsidR="0077150B" w:rsidRPr="007715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Desdemona</w:t>
      </w:r>
      <w:r w:rsidR="00771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reimagining of Shakespeare’s </w:t>
      </w:r>
      <w:r w:rsidR="0077150B" w:rsidRPr="007715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Othello</w:t>
      </w:r>
      <w:r w:rsidR="00771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through Barbary and Desdemona.</w:t>
      </w:r>
    </w:p>
    <w:p w:rsidR="0022029C" w:rsidRDefault="0022029C" w:rsidP="002202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02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Roundtable: Teaching Roundtable:  Teaching Morrison’s </w:t>
      </w:r>
      <w:r w:rsidRPr="002202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Desdemona</w:t>
      </w:r>
      <w:r w:rsidRPr="002202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387BBB" w:rsidRDefault="0022029C" w:rsidP="002202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Morrison’s </w:t>
      </w:r>
      <w:r w:rsidRPr="002202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Desdemona</w:t>
      </w:r>
      <w:r w:rsidRPr="0022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150B">
        <w:rPr>
          <w:rFonts w:ascii="Times New Roman" w:eastAsia="Times New Roman" w:hAnsi="Times New Roman" w:cs="Times New Roman"/>
          <w:color w:val="000000"/>
          <w:sz w:val="24"/>
          <w:szCs w:val="24"/>
        </w:rPr>
        <w:t>becomes part of her can</w:t>
      </w:r>
      <w:r w:rsidRPr="0022029C">
        <w:rPr>
          <w:rFonts w:ascii="Times New Roman" w:eastAsia="Times New Roman" w:hAnsi="Times New Roman" w:cs="Times New Roman"/>
          <w:color w:val="000000"/>
          <w:sz w:val="24"/>
          <w:szCs w:val="24"/>
        </w:rPr>
        <w:t>on, the challenge of teac</w:t>
      </w:r>
      <w:r w:rsidR="00FE0D1B">
        <w:rPr>
          <w:rFonts w:ascii="Times New Roman" w:eastAsia="Times New Roman" w:hAnsi="Times New Roman" w:cs="Times New Roman"/>
          <w:color w:val="000000"/>
          <w:sz w:val="24"/>
          <w:szCs w:val="24"/>
        </w:rPr>
        <w:t>hing a performance piece warrants</w:t>
      </w:r>
      <w:r w:rsidRPr="00220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attention.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In what ways does </w:t>
      </w:r>
      <w:r w:rsidRPr="002202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Desdemona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compare with Morrison’s novels and non-fiction work?  What themes resona</w:t>
      </w:r>
      <w:r w:rsidR="00FE0D1B">
        <w:rPr>
          <w:rFonts w:ascii="Times New Roman" w:eastAsia="Times New Roman" w:hAnsi="Times New Roman" w:cs="Times New Roman"/>
          <w:color w:val="000000"/>
          <w:sz w:val="24"/>
          <w:szCs w:val="24"/>
        </w:rPr>
        <w:t>te with other oeuvres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make </w:t>
      </w:r>
      <w:r w:rsidRPr="002202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Desdemona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companion piece with other works in a Morrison course</w:t>
      </w:r>
      <w:r w:rsidR="00771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with the teaching of Shakespeare’s </w:t>
      </w:r>
      <w:r w:rsidR="0077150B" w:rsidRPr="007715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Othello</w:t>
      </w:r>
      <w:r w:rsidR="007715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w</w:t>
      </w:r>
      <w:r w:rsidR="00FE0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ith a course in </w:t>
      </w:r>
      <w:r w:rsidR="00387BBB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FE0D1B">
        <w:rPr>
          <w:rFonts w:ascii="Times New Roman" w:eastAsia="Times New Roman" w:hAnsi="Times New Roman" w:cs="Times New Roman"/>
          <w:color w:val="000000"/>
          <w:sz w:val="24"/>
          <w:szCs w:val="24"/>
        </w:rPr>
        <w:t>iterature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 What issues of genre must be included in the teaching of </w:t>
      </w:r>
      <w:r w:rsidRPr="002202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Desdemona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 How can this work be interdisciplinary or cross-listed with other departments?  </w:t>
      </w:r>
      <w:r w:rsidR="00091905">
        <w:rPr>
          <w:rFonts w:ascii="Times New Roman" w:eastAsia="Times New Roman" w:hAnsi="Times New Roman" w:cs="Times New Roman"/>
          <w:color w:val="000000"/>
          <w:sz w:val="24"/>
          <w:szCs w:val="24"/>
        </w:rPr>
        <w:t>How might</w:t>
      </w:r>
      <w:r w:rsidR="00280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cross-cultural di</w:t>
      </w:r>
      <w:r w:rsidR="00D62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alogue </w:t>
      </w:r>
      <w:r w:rsidR="00091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</w:t>
      </w:r>
      <w:r w:rsidR="00D62139">
        <w:rPr>
          <w:rFonts w:ascii="Times New Roman" w:eastAsia="Times New Roman" w:hAnsi="Times New Roman" w:cs="Times New Roman"/>
          <w:color w:val="000000"/>
          <w:sz w:val="24"/>
          <w:szCs w:val="24"/>
        </w:rPr>
        <w:t>enhanced by gender, race, and class?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Teaching Roundtable invites participants to consider these and other pedagogical issues.</w:t>
      </w:r>
    </w:p>
    <w:p w:rsidR="00387BBB" w:rsidRPr="00387BBB" w:rsidRDefault="00387BBB" w:rsidP="00387B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7BBB" w:rsidRPr="00387BBB" w:rsidRDefault="00387BBB" w:rsidP="00387BB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87BBB" w:rsidRPr="00387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none Kaffeesatz 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9C"/>
    <w:rsid w:val="00091905"/>
    <w:rsid w:val="001C180A"/>
    <w:rsid w:val="0022029C"/>
    <w:rsid w:val="00280CF2"/>
    <w:rsid w:val="0029091B"/>
    <w:rsid w:val="00387BBB"/>
    <w:rsid w:val="0042693B"/>
    <w:rsid w:val="00486739"/>
    <w:rsid w:val="00604927"/>
    <w:rsid w:val="006B1B61"/>
    <w:rsid w:val="0077150B"/>
    <w:rsid w:val="00B11088"/>
    <w:rsid w:val="00D62139"/>
    <w:rsid w:val="00F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7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9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3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3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5351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65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99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72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44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62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74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983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846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9803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223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186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166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475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2786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18193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23798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22314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0424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40822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2536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075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405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0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3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5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311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26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271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92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746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39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34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442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174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08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4033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50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875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30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507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612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433370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286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25582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5270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3073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8079767"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Evelyn</cp:lastModifiedBy>
  <cp:revision>2</cp:revision>
  <dcterms:created xsi:type="dcterms:W3CDTF">2014-11-04T02:07:00Z</dcterms:created>
  <dcterms:modified xsi:type="dcterms:W3CDTF">2014-11-04T02:07:00Z</dcterms:modified>
</cp:coreProperties>
</file>